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F3FE78">
      <w:pPr>
        <w:jc w:val="center"/>
        <w:rPr>
          <w:rFonts w:hint="eastAsia" w:ascii="黑体" w:hAnsi="黑体" w:eastAsia="黑体" w:cs="黑体"/>
          <w:b/>
          <w:bCs/>
          <w:sz w:val="44"/>
          <w:szCs w:val="44"/>
          <w:lang w:val="en-US" w:eastAsia="zh-CN" w:bidi="ar"/>
        </w:rPr>
      </w:pPr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 w:bidi="ar"/>
        </w:rPr>
        <w:t>拟赤梢鱼增殖放流活动实施方案</w:t>
      </w:r>
    </w:p>
    <w:p w14:paraId="5B2B81BF">
      <w:pPr>
        <w:spacing w:after="0" w:line="360" w:lineRule="auto"/>
        <w:ind w:firstLine="640" w:firstLineChars="200"/>
        <w:jc w:val="both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为深入贯彻落实《水生生物增殖放流管理规定》及《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黑龙江省</w:t>
      </w:r>
      <w:r>
        <w:rPr>
          <w:rFonts w:ascii="仿宋" w:hAnsi="仿宋" w:eastAsia="仿宋"/>
          <w:sz w:val="32"/>
          <w:szCs w:val="32"/>
        </w:rPr>
        <w:t>20</w:t>
      </w:r>
      <w:r>
        <w:rPr>
          <w:rFonts w:hint="eastAsia" w:ascii="仿宋" w:hAnsi="仿宋" w:eastAsia="仿宋"/>
          <w:sz w:val="32"/>
          <w:szCs w:val="32"/>
        </w:rPr>
        <w:t>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/>
          <w:sz w:val="32"/>
          <w:szCs w:val="32"/>
        </w:rPr>
        <w:t>年水生生物增殖放流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项目</w:t>
      </w:r>
      <w:r>
        <w:rPr>
          <w:rFonts w:hint="eastAsia" w:ascii="仿宋" w:hAnsi="仿宋" w:eastAsia="仿宋"/>
          <w:sz w:val="32"/>
          <w:szCs w:val="32"/>
        </w:rPr>
        <w:t>实施方案》，本着恢复鱼类种群，修复水域生态环境，涵养渔业资源，保障生态安全的原则，特制定本放流工作计划。</w:t>
      </w:r>
    </w:p>
    <w:p w14:paraId="79628504">
      <w:pPr>
        <w:spacing w:after="0" w:line="360" w:lineRule="auto"/>
        <w:ind w:firstLine="643" w:firstLineChars="200"/>
        <w:jc w:val="both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一、增殖放流工作内容</w:t>
      </w:r>
    </w:p>
    <w:p w14:paraId="40D21B65">
      <w:pPr>
        <w:spacing w:after="0" w:line="360" w:lineRule="auto"/>
        <w:ind w:firstLine="640" w:firstLineChars="200"/>
        <w:jc w:val="both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ascii="仿宋" w:hAnsi="仿宋" w:eastAsia="仿宋"/>
          <w:sz w:val="32"/>
          <w:szCs w:val="32"/>
        </w:rPr>
        <w:t>1</w:t>
      </w:r>
      <w:r>
        <w:rPr>
          <w:rFonts w:hint="eastAsia" w:ascii="仿宋" w:hAnsi="仿宋" w:eastAsia="仿宋"/>
          <w:sz w:val="32"/>
          <w:szCs w:val="32"/>
        </w:rPr>
        <w:t>、放流单位</w:t>
      </w:r>
      <w:r>
        <w:rPr>
          <w:rFonts w:ascii="仿宋" w:hAnsi="仿宋" w:eastAsia="仿宋"/>
          <w:sz w:val="32"/>
          <w:szCs w:val="32"/>
        </w:rPr>
        <w:t xml:space="preserve">: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中国水产科学研究院黑龙江水产研究所；</w:t>
      </w:r>
    </w:p>
    <w:p w14:paraId="23632115">
      <w:pPr>
        <w:spacing w:after="0" w:line="360" w:lineRule="auto"/>
        <w:ind w:firstLine="640" w:firstLineChars="200"/>
        <w:jc w:val="both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2</w:t>
      </w:r>
      <w:r>
        <w:rPr>
          <w:rFonts w:hint="eastAsia" w:ascii="仿宋" w:hAnsi="仿宋" w:eastAsia="仿宋"/>
          <w:sz w:val="32"/>
          <w:szCs w:val="32"/>
        </w:rPr>
        <w:t>、苗种供应单位：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呼兰试验场</w:t>
      </w:r>
      <w:r>
        <w:rPr>
          <w:rFonts w:hint="eastAsia" w:ascii="仿宋" w:hAnsi="仿宋" w:eastAsia="仿宋"/>
          <w:sz w:val="32"/>
          <w:szCs w:val="32"/>
        </w:rPr>
        <w:t>；</w:t>
      </w:r>
    </w:p>
    <w:p w14:paraId="3E07C775">
      <w:pPr>
        <w:spacing w:after="0" w:line="360" w:lineRule="auto"/>
        <w:ind w:firstLine="640" w:firstLineChars="200"/>
        <w:jc w:val="both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3</w:t>
      </w:r>
      <w:r>
        <w:rPr>
          <w:rFonts w:hint="eastAsia" w:ascii="仿宋" w:hAnsi="仿宋" w:eastAsia="仿宋"/>
          <w:sz w:val="32"/>
          <w:szCs w:val="32"/>
        </w:rPr>
        <w:t>、放流品种</w:t>
      </w:r>
      <w:r>
        <w:rPr>
          <w:rFonts w:hint="eastAsia" w:ascii="仿宋" w:hAnsi="仿宋" w:eastAsia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规格</w:t>
      </w:r>
      <w:r>
        <w:rPr>
          <w:rFonts w:hint="eastAsia" w:ascii="仿宋" w:hAnsi="仿宋" w:eastAsia="仿宋"/>
          <w:sz w:val="32"/>
          <w:szCs w:val="32"/>
        </w:rPr>
        <w:t>：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/>
          <w:sz w:val="32"/>
          <w:szCs w:val="32"/>
        </w:rPr>
        <w:t>厘米以上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拟赤梢鱼10万尾</w:t>
      </w:r>
      <w:r>
        <w:rPr>
          <w:rFonts w:hint="eastAsia" w:ascii="仿宋" w:hAnsi="仿宋" w:eastAsia="仿宋"/>
          <w:sz w:val="32"/>
          <w:szCs w:val="32"/>
        </w:rPr>
        <w:t>；</w:t>
      </w:r>
    </w:p>
    <w:p w14:paraId="2B5A1781">
      <w:pPr>
        <w:spacing w:after="0" w:line="360" w:lineRule="auto"/>
        <w:ind w:firstLine="640" w:firstLineChars="200"/>
        <w:jc w:val="both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4</w:t>
      </w:r>
      <w:r>
        <w:rPr>
          <w:rFonts w:hint="eastAsia" w:ascii="仿宋" w:hAnsi="仿宋" w:eastAsia="仿宋"/>
          <w:sz w:val="32"/>
          <w:szCs w:val="32"/>
        </w:rPr>
        <w:t>、放流时间：202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24</w:t>
      </w: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日；</w:t>
      </w:r>
    </w:p>
    <w:p w14:paraId="0599BA2A">
      <w:pPr>
        <w:spacing w:after="0" w:line="360" w:lineRule="auto"/>
        <w:ind w:firstLine="640" w:firstLineChars="200"/>
        <w:jc w:val="both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5</w:t>
      </w:r>
      <w:r>
        <w:rPr>
          <w:rFonts w:hint="eastAsia" w:ascii="仿宋" w:hAnsi="仿宋" w:eastAsia="仿宋"/>
          <w:sz w:val="32"/>
          <w:szCs w:val="32"/>
        </w:rPr>
        <w:t>、放流地点：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牡丹江上游区段水域</w:t>
      </w:r>
      <w:r>
        <w:rPr>
          <w:rFonts w:hint="eastAsia" w:ascii="仿宋" w:hAnsi="仿宋" w:eastAsia="仿宋"/>
          <w:sz w:val="32"/>
          <w:szCs w:val="32"/>
        </w:rPr>
        <w:t>。</w:t>
      </w:r>
    </w:p>
    <w:p w14:paraId="0C4206B2">
      <w:pPr>
        <w:spacing w:after="0" w:line="360" w:lineRule="auto"/>
        <w:ind w:firstLine="643" w:firstLineChars="200"/>
        <w:jc w:val="both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二、保障措施</w:t>
      </w:r>
    </w:p>
    <w:p w14:paraId="4CBC397B">
      <w:pPr>
        <w:spacing w:after="0" w:line="360" w:lineRule="auto"/>
        <w:ind w:firstLine="640" w:firstLineChars="200"/>
        <w:jc w:val="both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1</w:t>
      </w:r>
      <w:r>
        <w:rPr>
          <w:rFonts w:hint="eastAsia" w:ascii="仿宋" w:hAnsi="仿宋" w:eastAsia="仿宋"/>
          <w:sz w:val="32"/>
          <w:szCs w:val="32"/>
        </w:rPr>
        <w:t>、加强领导，精心组织</w:t>
      </w:r>
    </w:p>
    <w:p w14:paraId="4B2FE485">
      <w:pPr>
        <w:spacing w:after="0" w:line="360" w:lineRule="auto"/>
        <w:ind w:firstLine="640" w:firstLineChars="200"/>
        <w:jc w:val="both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成立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拟赤梢鱼</w:t>
      </w:r>
      <w:r>
        <w:rPr>
          <w:rFonts w:hint="eastAsia" w:ascii="仿宋" w:hAnsi="仿宋" w:eastAsia="仿宋"/>
          <w:sz w:val="32"/>
          <w:szCs w:val="32"/>
        </w:rPr>
        <w:t>增殖放流工作领导小组，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确保放流苗种培育、放流苗种运输、放流活动举行等环节顺利实施</w:t>
      </w:r>
      <w:r>
        <w:rPr>
          <w:rFonts w:hint="eastAsia" w:ascii="仿宋" w:hAnsi="仿宋" w:eastAsia="仿宋"/>
          <w:sz w:val="32"/>
          <w:szCs w:val="32"/>
        </w:rPr>
        <w:t>。</w:t>
      </w:r>
    </w:p>
    <w:p w14:paraId="2709C6FC">
      <w:pPr>
        <w:spacing w:after="0" w:line="360" w:lineRule="auto"/>
        <w:ind w:firstLine="640" w:firstLineChars="200"/>
        <w:jc w:val="both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2</w:t>
      </w:r>
      <w:r>
        <w:rPr>
          <w:rFonts w:hint="eastAsia" w:ascii="仿宋" w:hAnsi="仿宋" w:eastAsia="仿宋"/>
          <w:sz w:val="32"/>
          <w:szCs w:val="32"/>
        </w:rPr>
        <w:t>、确保放流品种的质量和数量</w:t>
      </w:r>
    </w:p>
    <w:p w14:paraId="04CB762A">
      <w:pPr>
        <w:spacing w:after="0" w:line="360" w:lineRule="auto"/>
        <w:ind w:firstLine="640" w:firstLineChars="200"/>
        <w:jc w:val="both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放流品种专池培育，体质健壮，规格整齐。严把数量关，确保增殖放流的效果。</w:t>
      </w:r>
    </w:p>
    <w:p w14:paraId="2A2DE6DA">
      <w:pPr>
        <w:spacing w:after="0" w:line="360" w:lineRule="auto"/>
        <w:ind w:firstLine="640" w:firstLineChars="200"/>
        <w:jc w:val="both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3</w:t>
      </w:r>
      <w:r>
        <w:rPr>
          <w:rFonts w:hint="eastAsia" w:ascii="仿宋" w:hAnsi="仿宋" w:eastAsia="仿宋"/>
          <w:sz w:val="32"/>
          <w:szCs w:val="32"/>
        </w:rPr>
        <w:t>、规范苗种放流方式</w:t>
      </w:r>
    </w:p>
    <w:p w14:paraId="253D1785">
      <w:pPr>
        <w:spacing w:after="0" w:line="360" w:lineRule="auto"/>
        <w:ind w:firstLine="640" w:firstLineChars="200"/>
        <w:jc w:val="both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增殖放流方式要科学文明，贴近水面放流苗种，减缓水体对苗种冲击而造成的机械性损伤，杜绝</w:t>
      </w:r>
      <w:r>
        <w:rPr>
          <w:rFonts w:ascii="仿宋" w:hAnsi="仿宋" w:eastAsia="仿宋"/>
          <w:sz w:val="32"/>
          <w:szCs w:val="32"/>
        </w:rPr>
        <w:t>“</w:t>
      </w:r>
      <w:r>
        <w:rPr>
          <w:rFonts w:hint="eastAsia" w:ascii="仿宋" w:hAnsi="仿宋" w:eastAsia="仿宋"/>
          <w:sz w:val="32"/>
          <w:szCs w:val="32"/>
        </w:rPr>
        <w:t>抛洒</w:t>
      </w:r>
      <w:r>
        <w:rPr>
          <w:rFonts w:ascii="仿宋" w:hAnsi="仿宋" w:eastAsia="仿宋"/>
          <w:sz w:val="32"/>
          <w:szCs w:val="32"/>
        </w:rPr>
        <w:t>”</w:t>
      </w:r>
      <w:r>
        <w:rPr>
          <w:rFonts w:hint="eastAsia" w:ascii="仿宋" w:hAnsi="仿宋" w:eastAsia="仿宋"/>
          <w:sz w:val="32"/>
          <w:szCs w:val="32"/>
        </w:rPr>
        <w:t>或</w:t>
      </w:r>
      <w:r>
        <w:rPr>
          <w:rFonts w:ascii="仿宋" w:hAnsi="仿宋" w:eastAsia="仿宋"/>
          <w:sz w:val="32"/>
          <w:szCs w:val="32"/>
        </w:rPr>
        <w:t>“</w:t>
      </w:r>
      <w:r>
        <w:rPr>
          <w:rFonts w:hint="eastAsia" w:ascii="仿宋" w:hAnsi="仿宋" w:eastAsia="仿宋"/>
          <w:sz w:val="32"/>
          <w:szCs w:val="32"/>
        </w:rPr>
        <w:t>高空</w:t>
      </w:r>
      <w:r>
        <w:rPr>
          <w:rFonts w:ascii="仿宋" w:hAnsi="仿宋" w:eastAsia="仿宋"/>
          <w:sz w:val="32"/>
          <w:szCs w:val="32"/>
        </w:rPr>
        <w:t>”</w:t>
      </w:r>
      <w:r>
        <w:rPr>
          <w:rFonts w:hint="eastAsia" w:ascii="仿宋" w:hAnsi="仿宋" w:eastAsia="仿宋"/>
          <w:sz w:val="32"/>
          <w:szCs w:val="32"/>
        </w:rPr>
        <w:t>倾倒的放流方式。禁止放流非放流水域土著品种，禁止放流杂交品种、转基因品种。确保水域生态安全。及时做好尼龙袋、泡沫箱等废弃物的收集清理工作，防止因增殖放流造成的水域环境污染。</w:t>
      </w:r>
    </w:p>
    <w:p w14:paraId="12C10F89">
      <w:pPr>
        <w:spacing w:after="0" w:line="360" w:lineRule="auto"/>
        <w:ind w:firstLine="640" w:firstLineChars="200"/>
        <w:jc w:val="both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4</w:t>
      </w:r>
      <w:r>
        <w:rPr>
          <w:rFonts w:hint="eastAsia" w:ascii="仿宋" w:hAnsi="仿宋" w:eastAsia="仿宋"/>
          <w:sz w:val="32"/>
          <w:szCs w:val="32"/>
        </w:rPr>
        <w:t>、苗种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检疫</w:t>
      </w:r>
      <w:r>
        <w:rPr>
          <w:rFonts w:hint="eastAsia" w:ascii="仿宋" w:hAnsi="仿宋" w:eastAsia="仿宋"/>
          <w:sz w:val="32"/>
          <w:szCs w:val="32"/>
        </w:rPr>
        <w:t>、检测</w:t>
      </w:r>
    </w:p>
    <w:p w14:paraId="7A2CC310">
      <w:pPr>
        <w:spacing w:after="0" w:line="360" w:lineRule="auto"/>
        <w:ind w:firstLine="640" w:firstLineChars="200"/>
        <w:jc w:val="both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放流前完成苗种的药残检测、疫病检测</w:t>
      </w:r>
      <w:r>
        <w:rPr>
          <w:rFonts w:hint="eastAsia" w:ascii="仿宋" w:hAnsi="仿宋" w:eastAsia="仿宋"/>
          <w:sz w:val="32"/>
          <w:szCs w:val="32"/>
        </w:rPr>
        <w:t>，保证苗种优良、品种纯正，符合放流标准。</w:t>
      </w:r>
    </w:p>
    <w:p w14:paraId="268E0750">
      <w:pPr>
        <w:spacing w:after="0" w:line="360" w:lineRule="auto"/>
        <w:ind w:firstLine="640" w:firstLineChars="200"/>
        <w:jc w:val="both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5</w:t>
      </w:r>
      <w:r>
        <w:rPr>
          <w:rFonts w:hint="eastAsia" w:ascii="仿宋" w:hAnsi="仿宋" w:eastAsia="仿宋"/>
          <w:sz w:val="32"/>
          <w:szCs w:val="32"/>
        </w:rPr>
        <w:t>、公正公示放流品种数量</w:t>
      </w:r>
    </w:p>
    <w:p w14:paraId="176BD368">
      <w:pPr>
        <w:spacing w:after="0" w:line="360" w:lineRule="auto"/>
        <w:ind w:firstLine="640" w:firstLineChars="200"/>
        <w:jc w:val="both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向社会公布增殖放流鱼类的种类、数量、规格等，得到社会大众的监督。扩大宣传面，提高全民保护渔业资源的意识。</w:t>
      </w:r>
    </w:p>
    <w:p w14:paraId="6E5A443B">
      <w:pPr>
        <w:spacing w:after="0" w:line="360" w:lineRule="auto"/>
        <w:ind w:firstLine="643" w:firstLineChars="200"/>
        <w:jc w:val="both"/>
        <w:rPr>
          <w:rFonts w:hint="default" w:ascii="仿宋" w:hAnsi="仿宋" w:eastAsia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三、项目管理</w:t>
      </w:r>
    </w:p>
    <w:p w14:paraId="4BBCB0B7"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bidi w:val="0"/>
        <w:adjustRightInd w:val="0"/>
        <w:snapToGrid w:val="0"/>
        <w:spacing w:after="0" w:line="36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1、</w:t>
      </w:r>
      <w:r>
        <w:rPr>
          <w:rFonts w:hint="eastAsia" w:ascii="仿宋" w:hAnsi="仿宋" w:eastAsia="仿宋" w:cs="仿宋"/>
          <w:sz w:val="32"/>
          <w:szCs w:val="32"/>
        </w:rPr>
        <w:t>放流经费管理</w:t>
      </w:r>
    </w:p>
    <w:p w14:paraId="6CA3F270"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bidi w:val="0"/>
        <w:adjustRightInd w:val="0"/>
        <w:snapToGrid w:val="0"/>
        <w:spacing w:after="0" w:line="36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_GB2312" w:eastAsia="仿宋_GB2312" w:cs="Times New Roman"/>
          <w:bCs/>
          <w:vanish w:val="0"/>
          <w:kern w:val="2"/>
          <w:sz w:val="32"/>
          <w:szCs w:val="32"/>
          <w:lang w:val="en-US" w:eastAsia="zh-CN"/>
        </w:rPr>
        <w:t>坚持项目负责人为经费管理工作第一责任人，</w:t>
      </w:r>
      <w:r>
        <w:rPr>
          <w:rFonts w:hint="eastAsia" w:ascii="仿宋_GB2312" w:eastAsia="仿宋_GB2312" w:cs="Times New Roman"/>
          <w:bCs/>
          <w:vanish w:val="0"/>
          <w:kern w:val="2"/>
          <w:sz w:val="32"/>
          <w:szCs w:val="32"/>
        </w:rPr>
        <w:t>严格遵守财务</w:t>
      </w:r>
      <w:r>
        <w:rPr>
          <w:rFonts w:hint="eastAsia" w:ascii="仿宋_GB2312" w:eastAsia="仿宋_GB2312" w:cs="Times New Roman"/>
          <w:bCs/>
          <w:vanish w:val="0"/>
          <w:kern w:val="2"/>
          <w:sz w:val="32"/>
          <w:szCs w:val="32"/>
          <w:lang w:val="en-US" w:eastAsia="zh-CN"/>
        </w:rPr>
        <w:t>核销</w:t>
      </w:r>
      <w:r>
        <w:rPr>
          <w:rFonts w:hint="eastAsia" w:ascii="仿宋_GB2312" w:eastAsia="仿宋_GB2312" w:cs="Times New Roman"/>
          <w:bCs/>
          <w:vanish w:val="0"/>
          <w:kern w:val="2"/>
          <w:sz w:val="32"/>
          <w:szCs w:val="32"/>
        </w:rPr>
        <w:t>制度</w:t>
      </w:r>
      <w:r>
        <w:rPr>
          <w:rFonts w:hint="eastAsia" w:ascii="仿宋_GB2312" w:eastAsia="仿宋_GB2312" w:cs="Times New Roman"/>
          <w:bCs/>
          <w:vanish w:val="0"/>
          <w:kern w:val="2"/>
          <w:sz w:val="32"/>
          <w:szCs w:val="32"/>
          <w:lang w:val="en-US" w:eastAsia="zh-CN"/>
        </w:rPr>
        <w:t>。</w:t>
      </w:r>
      <w:r>
        <w:rPr>
          <w:rFonts w:hint="eastAsia" w:ascii="仿宋" w:hAnsi="仿宋" w:eastAsia="仿宋" w:cs="仿宋"/>
          <w:sz w:val="32"/>
          <w:szCs w:val="32"/>
        </w:rPr>
        <w:t>采取统一管理、专款专用，严格把控核销环节，做到经费使用无挤占、无挪用、无违规。放流经费主要用于放流苗种生产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、放流活动进行及</w:t>
      </w:r>
      <w:r>
        <w:rPr>
          <w:rFonts w:hint="eastAsia" w:ascii="仿宋" w:hAnsi="仿宋" w:eastAsia="仿宋" w:cs="仿宋"/>
          <w:sz w:val="32"/>
          <w:szCs w:val="32"/>
        </w:rPr>
        <w:t>检验检疫等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方向支出</w:t>
      </w:r>
      <w:r>
        <w:rPr>
          <w:rFonts w:hint="eastAsia" w:ascii="仿宋" w:hAnsi="仿宋" w:eastAsia="仿宋" w:cs="仿宋"/>
          <w:sz w:val="32"/>
          <w:szCs w:val="32"/>
        </w:rPr>
        <w:t>费用。</w:t>
      </w:r>
    </w:p>
    <w:p w14:paraId="252FB194"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bidi w:val="0"/>
        <w:adjustRightInd w:val="0"/>
        <w:snapToGrid w:val="0"/>
        <w:spacing w:after="0" w:line="360" w:lineRule="auto"/>
        <w:ind w:leftChars="200" w:firstLine="320" w:firstLineChars="1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2、绩效自评管理</w:t>
      </w:r>
    </w:p>
    <w:p w14:paraId="58E411A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科学合理设立绩效指标，根据《黑龙江省2025年水生生物增殖放流项目实施方案》要求，</w:t>
      </w:r>
      <w:r>
        <w:rPr>
          <w:rFonts w:hint="eastAsia" w:ascii="仿宋" w:hAnsi="仿宋" w:eastAsia="仿宋" w:cs="仿宋"/>
          <w:caps w:val="0"/>
          <w:snapToGrid w:val="0"/>
          <w:color w:val="auto"/>
          <w:kern w:val="0"/>
          <w:sz w:val="32"/>
          <w:szCs w:val="32"/>
          <w:vertAlign w:val="baseline"/>
          <w:lang w:val="en-US" w:eastAsia="zh-CN"/>
        </w:rPr>
        <w:t>接受项目下达单位的监督，确保绩效评价工作的公正性和有效性。强化绩效自评结果的约束力，提高财政资金使用效率。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6BF5"/>
    <w:rsid w:val="00027B13"/>
    <w:rsid w:val="0007257A"/>
    <w:rsid w:val="00091D66"/>
    <w:rsid w:val="000B7029"/>
    <w:rsid w:val="00105572"/>
    <w:rsid w:val="001115A6"/>
    <w:rsid w:val="00121C33"/>
    <w:rsid w:val="00130532"/>
    <w:rsid w:val="00140472"/>
    <w:rsid w:val="0025652E"/>
    <w:rsid w:val="007778A4"/>
    <w:rsid w:val="00796BF5"/>
    <w:rsid w:val="007B347D"/>
    <w:rsid w:val="007D2589"/>
    <w:rsid w:val="008E39C8"/>
    <w:rsid w:val="008F7C15"/>
    <w:rsid w:val="00936DB6"/>
    <w:rsid w:val="0095104A"/>
    <w:rsid w:val="009839CC"/>
    <w:rsid w:val="00A65C04"/>
    <w:rsid w:val="00AA7717"/>
    <w:rsid w:val="00AD21AA"/>
    <w:rsid w:val="00B44CAF"/>
    <w:rsid w:val="00BB2520"/>
    <w:rsid w:val="00CD6229"/>
    <w:rsid w:val="00D05DC7"/>
    <w:rsid w:val="00D36006"/>
    <w:rsid w:val="00DB3AE4"/>
    <w:rsid w:val="00DC3C72"/>
    <w:rsid w:val="00F405D5"/>
    <w:rsid w:val="00F67ACA"/>
    <w:rsid w:val="014632E9"/>
    <w:rsid w:val="0D837EF8"/>
    <w:rsid w:val="0E4F1A2E"/>
    <w:rsid w:val="17B172B6"/>
    <w:rsid w:val="195B1DEC"/>
    <w:rsid w:val="20036B1D"/>
    <w:rsid w:val="20F636A3"/>
    <w:rsid w:val="2D7D6A55"/>
    <w:rsid w:val="339C2497"/>
    <w:rsid w:val="38404012"/>
    <w:rsid w:val="39C55289"/>
    <w:rsid w:val="3C3F0E59"/>
    <w:rsid w:val="3EE53B65"/>
    <w:rsid w:val="4DF17910"/>
    <w:rsid w:val="60714E01"/>
    <w:rsid w:val="66035154"/>
    <w:rsid w:val="66D122D4"/>
    <w:rsid w:val="6C76085F"/>
    <w:rsid w:val="75C335B1"/>
    <w:rsid w:val="76753253"/>
    <w:rsid w:val="779E42D6"/>
    <w:rsid w:val="7ECD7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FM-WZ"/>
    <w:basedOn w:val="1"/>
    <w:qFormat/>
    <w:uiPriority w:val="0"/>
    <w:pPr>
      <w:adjustRightInd w:val="0"/>
      <w:snapToGrid w:val="0"/>
      <w:spacing w:line="480" w:lineRule="exact"/>
      <w:ind w:firstLine="200" w:firstLineChars="200"/>
    </w:pPr>
    <w:rPr>
      <w:rFonts w:ascii="Times New Roman" w:hAnsi="Times New Roman"/>
      <w:sz w:val="24"/>
      <w:szCs w:val="30"/>
    </w:rPr>
  </w:style>
  <w:style w:type="character" w:customStyle="1" w:styleId="8">
    <w:name w:val="页眉 字符"/>
    <w:basedOn w:val="6"/>
    <w:link w:val="4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9">
    <w:name w:val="页脚 字符"/>
    <w:basedOn w:val="6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796</Words>
  <Characters>807</Characters>
  <Lines>13</Lines>
  <Paragraphs>3</Paragraphs>
  <TotalTime>3</TotalTime>
  <ScaleCrop>false</ScaleCrop>
  <LinksUpToDate>false</LinksUpToDate>
  <CharactersWithSpaces>808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2025-06-05T03:02:00Z</dcterms:created>
  <dc:creator>Administrator</dc:creator>
  <cp:lastModifiedBy>hazel1398738165</cp:lastModifiedBy>
  <cp:lastPrinted>2025-06-26T07:22:00Z</cp:lastPrinted>
  <dcterms:modified xsi:type="dcterms:W3CDTF">2025-09-12T03:04:28Z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eyJoZGlkIjoiM2M0N2M0YTkyNjA4MTRmYjVkODA5YmViMDgyMTYzOWQiLCJ1c2VySWQiOiIxNDkyNzEyNyJ9</vt:lpwstr>
  </property>
  <property fmtid="{D5CDD505-2E9C-101B-9397-08002B2CF9AE}" pid="4" name="ICV">
    <vt:lpwstr>5E30E0B0079E493392A11699D41973B3_12</vt:lpwstr>
  </property>
</Properties>
</file>